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7E" w:rsidRPr="001D52B6" w:rsidRDefault="0046677E" w:rsidP="001D52B6">
      <w:pPr>
        <w:pStyle w:val="text-center"/>
        <w:spacing w:before="0" w:beforeAutospacing="0" w:after="0" w:afterAutospacing="0"/>
        <w:jc w:val="right"/>
      </w:pPr>
      <w:r w:rsidRPr="001D52B6">
        <w:t xml:space="preserve">Załącznik do zarządzenia nr </w:t>
      </w:r>
      <w:r w:rsidR="00CE6BBE">
        <w:t>12</w:t>
      </w:r>
      <w:r w:rsidRPr="001D52B6">
        <w:t xml:space="preserve">/2021 </w:t>
      </w:r>
    </w:p>
    <w:p w:rsidR="0046677E" w:rsidRPr="001D52B6" w:rsidRDefault="0046677E" w:rsidP="001D52B6">
      <w:pPr>
        <w:pStyle w:val="text-center"/>
        <w:spacing w:before="0" w:beforeAutospacing="0" w:after="0" w:afterAutospacing="0"/>
        <w:jc w:val="right"/>
      </w:pPr>
      <w:r w:rsidRPr="001D52B6">
        <w:t>Wójta Gminy Parysów z dnia 2</w:t>
      </w:r>
      <w:r w:rsidR="00CE6BBE">
        <w:t>9</w:t>
      </w:r>
      <w:r w:rsidRPr="001D52B6">
        <w:t xml:space="preserve"> stycznia 2021 roku</w:t>
      </w:r>
    </w:p>
    <w:p w:rsidR="0046677E" w:rsidRPr="001D52B6" w:rsidRDefault="0046677E" w:rsidP="001D52B6">
      <w:pPr>
        <w:pStyle w:val="text-center"/>
        <w:spacing w:before="0" w:beforeAutospacing="0" w:after="0" w:afterAutospacing="0"/>
        <w:jc w:val="both"/>
      </w:pPr>
    </w:p>
    <w:p w:rsidR="0046677E" w:rsidRPr="001D52B6" w:rsidRDefault="0046677E" w:rsidP="001D52B6">
      <w:pPr>
        <w:pStyle w:val="text-center"/>
        <w:spacing w:before="0" w:beforeAutospacing="0" w:after="0" w:afterAutospacing="0"/>
        <w:jc w:val="both"/>
      </w:pPr>
    </w:p>
    <w:p w:rsidR="00E708CC" w:rsidRPr="001D52B6" w:rsidRDefault="00E708CC" w:rsidP="001D52B6">
      <w:pPr>
        <w:pStyle w:val="text-center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>WÓJT GMINY PARYSÓW</w:t>
      </w:r>
    </w:p>
    <w:p w:rsidR="00E708CC" w:rsidRPr="001D52B6" w:rsidRDefault="00E708CC" w:rsidP="001D52B6">
      <w:pPr>
        <w:pStyle w:val="text-center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 xml:space="preserve">OGŁASZA OTWARTY KONKURS OFERT NA REALIZACJĘ ZADANIA PUBLICZNEGO W ZAKRESIE WSPIERANIA I UPOWSZECHNIANIA KULTURY FIZYCZNEJ </w:t>
      </w:r>
      <w:r w:rsidR="00BB0033">
        <w:rPr>
          <w:b/>
        </w:rPr>
        <w:t xml:space="preserve">I SPORTU </w:t>
      </w:r>
      <w:r w:rsidRPr="001D52B6">
        <w:rPr>
          <w:b/>
        </w:rPr>
        <w:t>W 2021 ROKU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center"/>
      </w:pPr>
      <w:r w:rsidRPr="001D52B6">
        <w:br/>
      </w:r>
      <w:r w:rsidRPr="001D52B6">
        <w:rPr>
          <w:b/>
        </w:rPr>
        <w:t>I. RODZAJ ZADANIA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Gmina Parysów zamierza zlecić realizację zadań publicznych w następującym rodzaju zadań: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 „</w:t>
      </w:r>
      <w:r w:rsidR="00BB0033">
        <w:t>Wspieranie i u</w:t>
      </w:r>
      <w:r w:rsidRPr="001D52B6">
        <w:t xml:space="preserve">powszechnianie kultury fizycznej i sportu </w:t>
      </w:r>
      <w:r w:rsidR="00BB0033">
        <w:t>w Gminie Parysów</w:t>
      </w:r>
      <w:r w:rsidRPr="001D52B6">
        <w:t xml:space="preserve">  </w:t>
      </w:r>
      <w:r w:rsidR="001D52B6" w:rsidRPr="001D52B6">
        <w:t>w 2021 roku</w:t>
      </w:r>
      <w:r w:rsidR="00BB0033">
        <w:t>”</w:t>
      </w:r>
      <w:r w:rsidR="001D52B6" w:rsidRPr="001D52B6">
        <w:t>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Cele zadania: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1) promocja sportu i aktywnego stylu życia;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2) zagospodarowanie czasu wolnego dzieci i młodzieży z </w:t>
      </w:r>
      <w:r w:rsidR="0021243F" w:rsidRPr="001D52B6">
        <w:t>Gminy Parysów</w:t>
      </w:r>
      <w:r w:rsidRPr="001D52B6">
        <w:t>;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3) poprawa kondycji fizycznej i psychicznej mieszkańców </w:t>
      </w:r>
      <w:r w:rsidR="0021243F" w:rsidRPr="001D52B6">
        <w:t>Parysowa</w:t>
      </w:r>
      <w:r w:rsidRPr="001D52B6">
        <w:t xml:space="preserve"> poprzez uczestnictwo, doraźne lub zorganizowane, we wszelkich formach aktywności fizycznej;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4) upowszechnianie kultury fizycznej;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5) osiąganie jak najwyższych wyników sportowych;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6) umożliwienie uczestnictwa we współzawodnictwie sportowym dla mieszkańców </w:t>
      </w:r>
      <w:r w:rsidR="0021243F" w:rsidRPr="001D52B6">
        <w:t>Gminy Parysów</w:t>
      </w:r>
      <w:r w:rsidRPr="001D52B6">
        <w:t>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 </w:t>
      </w:r>
    </w:p>
    <w:p w:rsidR="00E708CC" w:rsidRPr="001D52B6" w:rsidRDefault="0021243F" w:rsidP="001D52B6">
      <w:pPr>
        <w:pStyle w:val="NormalnyWeb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>II. WYSOKOŚĆ ŚRODKÓW PRZEZNACZONYCH NA REALIZACJE ZADANIA: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W 2021 r.</w:t>
      </w:r>
      <w:r w:rsidR="001D52B6" w:rsidRPr="001D52B6">
        <w:t xml:space="preserve"> wysokość środków przeznaczonych na realizację zadania wynosi</w:t>
      </w:r>
      <w:r w:rsidRPr="001D52B6">
        <w:t xml:space="preserve"> </w:t>
      </w:r>
      <w:r w:rsidR="0021243F" w:rsidRPr="001D52B6">
        <w:t>45000</w:t>
      </w:r>
      <w:r w:rsidRPr="001D52B6">
        <w:t>,00 zł</w:t>
      </w:r>
      <w:r w:rsidR="001D52B6" w:rsidRPr="001D52B6">
        <w:t>.</w:t>
      </w:r>
    </w:p>
    <w:p w:rsidR="00AF44E5" w:rsidRPr="001D52B6" w:rsidRDefault="00AF44E5" w:rsidP="001D52B6">
      <w:pPr>
        <w:pStyle w:val="NormalnyWeb"/>
        <w:spacing w:before="0" w:beforeAutospacing="0" w:after="0" w:afterAutospacing="0"/>
        <w:jc w:val="both"/>
      </w:pPr>
    </w:p>
    <w:p w:rsidR="00E708CC" w:rsidRPr="001D52B6" w:rsidRDefault="0021243F" w:rsidP="001D52B6">
      <w:pPr>
        <w:pStyle w:val="NormalnyWeb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>III. ZASADY PRZYZNAWANIA DOTACJI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O dotację mogą ubiegać się podmioty spełniające wymogi określone w ustawie z dnia 24 kwietnia 2003 r. o działalności pożytku publicznego i o wolontariacie (tekst jednolity Dz. U. z 2020 r., poz. 1057).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W przypadku wyboru oferty, zlecenie realizacji zadania nastąpi w trybie powierzenia wykonania zadania. </w:t>
      </w:r>
    </w:p>
    <w:p w:rsidR="0021243F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W wyniku postępowania konkursowego do udzielenia dotacji wybrana </w:t>
      </w:r>
      <w:r w:rsidR="0021243F" w:rsidRPr="001D52B6">
        <w:t xml:space="preserve">zostanie </w:t>
      </w:r>
      <w:r w:rsidRPr="001D52B6">
        <w:t>jedna oferta</w:t>
      </w:r>
      <w:r w:rsidR="0021243F" w:rsidRPr="001D52B6">
        <w:t>.</w:t>
      </w:r>
      <w:r w:rsidRPr="001D52B6">
        <w:t> 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br/>
        <w:t>Kalkulacja powinna być sporządzona w oparciu o następujące koszty: transport, wyżywienie i zakwaterowanie (w przypadku wyjazdowych meczy ligowych i towarzyskich, turniejów oraz zgrupowań sportowych), opiekę medyczną i badania lekarskie, zakup środków doraźnej pomocy medycznej, opłaty związane z udziałem w rozgrywkach sportowych (opłaty rejestracyjne, związkowe licencje, zezwolenia), zakup niezbędnego sprzętu sportowego, odzieży   i obuwia sportowego, koszty organizacji i przeprowadzenia zawodów sportowych lub uczestnictwa w tych zawodach, koszty utrzymania i korzystania z obiektów sportowych dla celów szkolenia sportowego i rozgrywania zawodników, wynagrodzenia kadry szkoleniowej oraz delegacji sędziowskich, koszty zabezpieczenia i ubezpieczenia imprez i zawodów oraz wszelkie inne niezbędne koszty.</w:t>
      </w:r>
    </w:p>
    <w:p w:rsidR="00AF44E5" w:rsidRPr="001D52B6" w:rsidRDefault="00AF44E5" w:rsidP="001D52B6">
      <w:pPr>
        <w:pStyle w:val="NormalnyWeb"/>
        <w:spacing w:before="0" w:beforeAutospacing="0" w:after="0" w:afterAutospacing="0"/>
        <w:jc w:val="both"/>
      </w:pPr>
    </w:p>
    <w:p w:rsidR="00E708CC" w:rsidRPr="001D52B6" w:rsidRDefault="0021243F" w:rsidP="001D52B6">
      <w:pPr>
        <w:pStyle w:val="NormalnyWeb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>IV. TERMINY I WARUNKI REALIZACJI ZADANIA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Termin realizacji zadania obejmuje okres od dnia wskazanego w ofercie, w tym z udziałem środków przyznanych dotacją od dnia zawarcia umowy.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Koszty realizowanego zadania oferent może finansować ze środków własnych przed dniem podpisania umowy, w terminie realizacji zadania.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Zadanie powinno być realizowane zgodnie ze złożoną ofertą i podpisaną umową</w:t>
      </w:r>
      <w:r w:rsidR="002A58CE" w:rsidRPr="001D52B6">
        <w:t xml:space="preserve">. 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Dotacja nie będzie udzielana  na</w:t>
      </w:r>
      <w:r w:rsidR="002A58CE" w:rsidRPr="001D52B6">
        <w:t xml:space="preserve"> </w:t>
      </w:r>
      <w:r w:rsidRPr="001D52B6">
        <w:t>zakup gruntów</w:t>
      </w:r>
      <w:r w:rsidR="002A58CE" w:rsidRPr="001D52B6">
        <w:t xml:space="preserve">, </w:t>
      </w:r>
      <w:r w:rsidRPr="001D52B6">
        <w:t>działalność gospodarczą,</w:t>
      </w:r>
      <w:r w:rsidR="002A58CE" w:rsidRPr="001D52B6">
        <w:t xml:space="preserve"> </w:t>
      </w:r>
      <w:r w:rsidRPr="001D52B6">
        <w:t>działalność polityczną,</w:t>
      </w:r>
      <w:r w:rsidR="002A58CE" w:rsidRPr="001D52B6">
        <w:t xml:space="preserve"> </w:t>
      </w:r>
      <w:r w:rsidRPr="001D52B6">
        <w:t>pokrycie zobowiązań powstałych przed datą zawarcia umowy,</w:t>
      </w:r>
      <w:r w:rsidR="002A58CE" w:rsidRPr="001D52B6">
        <w:t xml:space="preserve"> </w:t>
      </w:r>
      <w:r w:rsidRPr="001D52B6">
        <w:t xml:space="preserve">realizację </w:t>
      </w:r>
      <w:r w:rsidRPr="001D52B6">
        <w:lastRenderedPageBreak/>
        <w:t>inwestycji, z wyłączeniem inwestycji związanych z bezpośrednią realizacją zadań publicznych, na które dotacja została przyznana,</w:t>
      </w:r>
      <w:r w:rsidR="002A58CE" w:rsidRPr="001D52B6">
        <w:t xml:space="preserve"> </w:t>
      </w:r>
      <w:r w:rsidRPr="001D52B6">
        <w:t>pokrycie kosztów utrzymania biura, z wyłączeniem bezpośrednich kosztów związanych z realizacją zadania publicznego, na które dotacja została przyznana.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 Dopuszcza się ewentualne zmiany określone zawartymi w trakcie trwania umowy - aneksami, polegające na przesunięciach wydatków pomiędzy pozycjami kosztowymi, które nie prowadzą do zmiany kwoty dotacji, jak również nie zmienią rzeczowego charakteru zadania. Obowiązek aneksowania  nie dotyczy sytuacji, w której nastąpiło zwiększenie lub zmniejszenie wydatków w danej pozycji kosztorysowej do </w:t>
      </w:r>
      <w:r w:rsidR="002A58CE" w:rsidRPr="001D52B6">
        <w:t>2</w:t>
      </w:r>
      <w:r w:rsidRPr="001D52B6">
        <w:t>0 % wartości udzielonej dotacji.</w:t>
      </w:r>
    </w:p>
    <w:p w:rsidR="00AF44E5" w:rsidRPr="001D52B6" w:rsidRDefault="00AF44E5" w:rsidP="001D52B6">
      <w:pPr>
        <w:pStyle w:val="NormalnyWeb"/>
        <w:spacing w:before="0" w:beforeAutospacing="0" w:after="0" w:afterAutospacing="0"/>
        <w:jc w:val="both"/>
        <w:rPr>
          <w:b/>
        </w:rPr>
      </w:pPr>
    </w:p>
    <w:p w:rsidR="00E708CC" w:rsidRPr="001D52B6" w:rsidRDefault="002A58CE" w:rsidP="001D52B6">
      <w:pPr>
        <w:pStyle w:val="NormalnyWeb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>V. TERMIN I WARUNKI SKŁADANIA OFERT.</w:t>
      </w:r>
    </w:p>
    <w:p w:rsidR="002A58CE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1. Ofertę realizacji zadania publicznego należy złożyć do dnia </w:t>
      </w:r>
      <w:r w:rsidR="00CE6BBE" w:rsidRPr="00CE6BBE">
        <w:rPr>
          <w:b/>
        </w:rPr>
        <w:t>22</w:t>
      </w:r>
      <w:r w:rsidRPr="001D52B6">
        <w:rPr>
          <w:b/>
          <w:bCs/>
        </w:rPr>
        <w:t>.0</w:t>
      </w:r>
      <w:r w:rsidR="002A58CE" w:rsidRPr="001D52B6">
        <w:rPr>
          <w:b/>
          <w:bCs/>
        </w:rPr>
        <w:t>2</w:t>
      </w:r>
      <w:r w:rsidRPr="001D52B6">
        <w:rPr>
          <w:b/>
          <w:bCs/>
        </w:rPr>
        <w:t>.2021 r. </w:t>
      </w:r>
      <w:r w:rsidRPr="001D52B6">
        <w:t xml:space="preserve">do godz. </w:t>
      </w:r>
      <w:r w:rsidR="002A58CE" w:rsidRPr="001D52B6">
        <w:rPr>
          <w:b/>
          <w:bCs/>
        </w:rPr>
        <w:t>14.30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 w zaklejonych i opieczętowanych kopertach z opisem: nazwa oferenta i jego dane adresowe, zadanie z zakresu wspierania i upowszechniania kultury fizycznej </w:t>
      </w:r>
      <w:r w:rsidR="00BB0033">
        <w:t xml:space="preserve">i sportu w Gminie Parysów </w:t>
      </w:r>
      <w:r w:rsidR="002A58CE" w:rsidRPr="001D52B6">
        <w:t>w 2021 roku</w:t>
      </w:r>
      <w:r w:rsidRPr="001D52B6">
        <w:t>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2</w:t>
      </w:r>
      <w:r w:rsidR="00E708CC" w:rsidRPr="001D52B6">
        <w:t>. Wymagane załączniki do oferty: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1) </w:t>
      </w:r>
      <w:r w:rsidR="00E708CC" w:rsidRPr="001D52B6">
        <w:t xml:space="preserve"> aktualny odpis z rejestru lub odpowiednio wyciąg z ewidencji lub inne dokumenty potwierdzające status prawny wnioskodawcy i umocowanie osób go reprezentujących – nie dotyczy podmiotów zarejestrowanyc</w:t>
      </w:r>
      <w:r w:rsidRPr="001D52B6">
        <w:t>h w KRS;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2) </w:t>
      </w:r>
      <w:r w:rsidR="00E708CC" w:rsidRPr="001D52B6">
        <w:t xml:space="preserve"> w przypadku oferty składanej wspólnie przez oferentów – umowę partnerską lub oświadczenie partnera o sposobie reprezentacji podmiotów, gdy jest inny niż wynikający z Krajowego Rejestru Sądowego lub innego właściwego rejestru – dokument potwierdzający upoważnienie do dzi</w:t>
      </w:r>
      <w:r w:rsidRPr="001D52B6">
        <w:t>ałania w imieniu oferenta (-ów);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3) </w:t>
      </w:r>
      <w:r w:rsidR="00E708CC" w:rsidRPr="001D52B6">
        <w:t xml:space="preserve"> wyciąg ze statutu organizacji potwierdzający działalność w sferze pożytku, której dotyczy konkurs, podpisany przez os</w:t>
      </w:r>
      <w:r w:rsidRPr="001D52B6">
        <w:t>oby uprawnione do reprezentacji;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4) </w:t>
      </w:r>
      <w:r w:rsidR="00E708CC" w:rsidRPr="001D52B6">
        <w:t xml:space="preserve"> dokument upoważniający daną osobę lub osoby do reprezentowania podmiotu – dotyczy podmiotów, które w dokumencie stanowiącym o podstawie działalności nie posiadają informacji o osobach upoważnionych do reprezentowania podmiotu lub gdy dokumenty ofertowe podpisują inne osoby, niż wynikałoby to z zapisów statutu</w:t>
      </w:r>
      <w:r w:rsidRPr="001D52B6">
        <w:t>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5) </w:t>
      </w:r>
      <w:r w:rsidR="00E708CC" w:rsidRPr="001D52B6">
        <w:t xml:space="preserve"> w przypadku organizacji, które po raz pierwszy ubiegają się o otrzymanie dotacji z </w:t>
      </w:r>
      <w:r w:rsidRPr="001D52B6">
        <w:t>Gminy Parysów</w:t>
      </w:r>
      <w:r w:rsidR="00E708CC" w:rsidRPr="001D52B6">
        <w:t xml:space="preserve"> należy załączyć ostatnie, zatwierdzone przez odpowiedni organ organizacji, sprawozdanie merytoryczne i finansowe (bilans, rachunek wyników, informacja dodatkowa).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  <w:rPr>
          <w:b/>
        </w:rPr>
      </w:pPr>
      <w:r w:rsidRPr="001D52B6">
        <w:rPr>
          <w:b/>
        </w:rPr>
        <w:t>Uwaga: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W przypadku zmian zaistniałych w trakcie t</w:t>
      </w:r>
      <w:r w:rsidR="003C75AC" w:rsidRPr="001D52B6">
        <w:t>rwania umowy wymienione powyżej dokumenty </w:t>
      </w:r>
      <w:r w:rsidRPr="001D52B6">
        <w:t>(a także kserokopie) dla swojej ważności muszą zostać niezwłocznie dostarczone i być opatrzone aktualną datą, pieczęcią organizacji pozarządowej lub podmiotu oraz podpisem osób uprawnionych do reprezentowania wnioskodawcy i pieczęcią imienną (w przypadku braku pieczęci imiennych wymagane jest złożenie czytelnych podpisów). Niespełnienie tego wymogu stanowi o nieważności danego dokumentu.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3</w:t>
      </w:r>
      <w:r w:rsidR="00E708CC" w:rsidRPr="001D52B6">
        <w:t>. Złożenie oferty nie jest równoznaczne z przyznaniem dotacji.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4</w:t>
      </w:r>
      <w:r w:rsidR="00E708CC" w:rsidRPr="001D52B6">
        <w:t>. Oferty podlegają procedurze uzupełnienia braków formalnych w przypadku: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1) </w:t>
      </w:r>
      <w:r w:rsidR="00E708CC" w:rsidRPr="001D52B6">
        <w:t xml:space="preserve"> uzupełnienia brakujących podpisów pod potwierdzeniem złożenia oferty, w przypadku gdy nie zostało podpisane przez wszystkie osoby uprawnione statutowo do za</w:t>
      </w:r>
      <w:r w:rsidRPr="001D52B6">
        <w:t>ciągania zobowiązań majątkowych;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2) </w:t>
      </w:r>
      <w:r w:rsidR="00E708CC" w:rsidRPr="001D52B6">
        <w:t>uzupełnienia brakujących załączników.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5</w:t>
      </w:r>
      <w:r w:rsidR="00E708CC" w:rsidRPr="001D52B6">
        <w:t>. Nie ma możliwości wymiany ofert.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6</w:t>
      </w:r>
      <w:r w:rsidR="00E708CC" w:rsidRPr="001D52B6">
        <w:t>. Oferta nie podlega opiniowaniu i zostaje odrzucona z powodu następujących braków formalnych: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1) </w:t>
      </w:r>
      <w:r w:rsidR="00E708CC" w:rsidRPr="001D52B6">
        <w:t xml:space="preserve"> złożenie po terminie;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2) </w:t>
      </w:r>
      <w:r w:rsidR="00E708CC" w:rsidRPr="001D52B6">
        <w:t xml:space="preserve"> wypełnienie poszczególnych punktów formularza oferty w sposób nieprawidłowy tj. np. poprzez wstawienie znaków, symboli, liter itp. nie będących wypowiedzią, zdaniem odnoszącym się do pytania/polecenia;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lastRenderedPageBreak/>
        <w:t xml:space="preserve">3) </w:t>
      </w:r>
      <w:r w:rsidR="00E708CC" w:rsidRPr="001D52B6">
        <w:t>złożenie w sposób niezgodny z wymaganiami szczegółowymi zawartymi w części V. Ogłoszenia o konkursie.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>Z uwagi na złożone oświadczenie w końcowej części oferty, że wszystkie informacje podane     w ofercie oraz załącznikach są zgodne z aktualnym stanem prawnym i faktycznym, złożone kopie dokumentów nie wymagają poświadczenia zgodności z oryginałem. Niemniej jednak Komisja Oceniająca zastrzega sobie możliwość zażądania od oferenta oryginału lub notarialnie potwierdzonej kopi dokumentu, w przypadku gdy kopia jest nieczytelna, lub budzi wątpliwości co do jej prawdziwości ​​.</w:t>
      </w:r>
    </w:p>
    <w:p w:rsidR="00AF44E5" w:rsidRPr="001D52B6" w:rsidRDefault="00AF44E5" w:rsidP="001D52B6">
      <w:pPr>
        <w:pStyle w:val="NormalnyWeb"/>
        <w:spacing w:before="0" w:beforeAutospacing="0" w:after="0" w:afterAutospacing="0"/>
        <w:jc w:val="both"/>
        <w:rPr>
          <w:b/>
        </w:rPr>
      </w:pPr>
    </w:p>
    <w:p w:rsidR="00E708CC" w:rsidRPr="001D52B6" w:rsidRDefault="003C75AC" w:rsidP="001D52B6">
      <w:pPr>
        <w:pStyle w:val="NormalnyWeb"/>
        <w:spacing w:before="0" w:beforeAutospacing="0" w:after="0" w:afterAutospacing="0"/>
        <w:jc w:val="center"/>
        <w:rPr>
          <w:b/>
        </w:rPr>
      </w:pPr>
      <w:r w:rsidRPr="001D52B6">
        <w:rPr>
          <w:b/>
        </w:rPr>
        <w:t>VI. TRYB I KRYTERIA STOSOWANE PRZY DOKONYWANIU WYBORU OFERT ORAZ TERMIN ICH WYBORU.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both"/>
      </w:pPr>
      <w:r w:rsidRPr="001D52B6">
        <w:t xml:space="preserve">1. Oferty zostaną zaopiniowane w terminie najpóźniej do </w:t>
      </w:r>
      <w:r w:rsidR="003C75AC" w:rsidRPr="001D52B6">
        <w:t>3</w:t>
      </w:r>
      <w:r w:rsidRPr="001D52B6">
        <w:t>0 dni od daty określającej końcowy termin składania ofert.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2</w:t>
      </w:r>
      <w:r w:rsidR="00E708CC" w:rsidRPr="001D52B6">
        <w:t xml:space="preserve">. Oferty rozpatruje właściwa Komisja Konkursowa powołana na podstawie zarządzenia </w:t>
      </w:r>
      <w:r w:rsidRPr="001D52B6">
        <w:t>Wójta Gminy Parysów</w:t>
      </w:r>
      <w:r w:rsidR="00E708CC" w:rsidRPr="001D52B6">
        <w:t xml:space="preserve">, która zobowiązana jest do sprawdzenia kompletności złożonych dokumentów pod względem formalnym, oceny merytorycznej oraz przedłożenia wyników konkursu </w:t>
      </w:r>
      <w:r w:rsidRPr="001D52B6">
        <w:t>Wójtowi Gminy Parysów</w:t>
      </w:r>
      <w:r w:rsidR="00E708CC" w:rsidRPr="001D52B6">
        <w:t>.</w:t>
      </w:r>
    </w:p>
    <w:p w:rsidR="00E708CC" w:rsidRPr="001D52B6" w:rsidRDefault="003C75AC" w:rsidP="001D52B6">
      <w:pPr>
        <w:pStyle w:val="NormalnyWeb"/>
        <w:spacing w:before="0" w:beforeAutospacing="0" w:after="0" w:afterAutospacing="0"/>
        <w:jc w:val="both"/>
      </w:pPr>
      <w:r w:rsidRPr="001D52B6">
        <w:t>3</w:t>
      </w:r>
      <w:r w:rsidR="00E708CC" w:rsidRPr="001D52B6">
        <w:t xml:space="preserve">. Komisja rozpatruje każdą ofertę indywidualnie poprzez wypełnienie Karty Oceny Formalnej oraz Karty Oceny Merytorycznej. Oceny Formalnej dokonuje </w:t>
      </w:r>
      <w:r w:rsidR="00571315">
        <w:t>pracownik urzędu</w:t>
      </w:r>
      <w:r w:rsidR="00E708CC" w:rsidRPr="001D52B6">
        <w:t>. Karty Oceny Merytorycznej wypełniają wszyscy członkowie Komisji. Liczba uzyskanych punktów przez oferenta stanowić będzie średnią wyciągniętą z ocen cząstkowych członków Komisji.</w:t>
      </w:r>
    </w:p>
    <w:p w:rsidR="00E708CC" w:rsidRPr="001D52B6" w:rsidRDefault="00AF44E5" w:rsidP="001D52B6">
      <w:pPr>
        <w:pStyle w:val="NormalnyWeb"/>
        <w:spacing w:before="0" w:beforeAutospacing="0" w:after="0" w:afterAutospacing="0"/>
        <w:jc w:val="both"/>
      </w:pPr>
      <w:r w:rsidRPr="001D52B6">
        <w:t>4</w:t>
      </w:r>
      <w:r w:rsidR="00E708CC" w:rsidRPr="001D52B6">
        <w:t>. Każda oferta może maksymalnie uzyskać 56 punktów za spełnienie kryteriów merytorycznych.  Komisja ma prawo odrzucić oferty, które nie uzyskały minimum 50% możliwych punktów podczas oceny merytorycznej.</w:t>
      </w:r>
    </w:p>
    <w:p w:rsidR="00E708CC" w:rsidRPr="001D52B6" w:rsidRDefault="00AF44E5" w:rsidP="001D52B6">
      <w:pPr>
        <w:pStyle w:val="NormalnyWeb"/>
        <w:spacing w:before="0" w:beforeAutospacing="0" w:after="0" w:afterAutospacing="0"/>
        <w:jc w:val="both"/>
      </w:pPr>
      <w:r w:rsidRPr="001D52B6">
        <w:t>5</w:t>
      </w:r>
      <w:r w:rsidR="00E708CC" w:rsidRPr="001D52B6">
        <w:t xml:space="preserve">. Oferty, które spełniają warunki formalne oraz które zostaną pozytywnie ocenione pod względem merytorycznym zostaną przedstawione </w:t>
      </w:r>
      <w:r w:rsidR="00423151" w:rsidRPr="001D52B6">
        <w:t>Wójtowi Gminy Parysów</w:t>
      </w:r>
      <w:r w:rsidR="00E708CC" w:rsidRPr="001D52B6">
        <w:t xml:space="preserve"> celem podjęcia ostatecznej decyzji o udzieleniu oraz wysokości wsparcia.</w:t>
      </w:r>
    </w:p>
    <w:p w:rsidR="00E708CC" w:rsidRPr="001D52B6" w:rsidRDefault="00AF44E5" w:rsidP="001D52B6">
      <w:pPr>
        <w:pStyle w:val="NormalnyWeb"/>
        <w:spacing w:before="0" w:beforeAutospacing="0" w:after="0" w:afterAutospacing="0"/>
        <w:jc w:val="both"/>
      </w:pPr>
      <w:r w:rsidRPr="001D52B6">
        <w:t>6</w:t>
      </w:r>
      <w:r w:rsidR="00E708CC" w:rsidRPr="001D52B6">
        <w:t xml:space="preserve">. Wyniki konkursu zostaną ogłoszone w terminie do </w:t>
      </w:r>
      <w:r w:rsidRPr="001D52B6">
        <w:t>28 lutego</w:t>
      </w:r>
      <w:r w:rsidR="00E708CC" w:rsidRPr="001D52B6">
        <w:t xml:space="preserve"> 2021 r. na stronie internetowej, w Biuletynie Informacji Publicznej Urzędu </w:t>
      </w:r>
      <w:r w:rsidRPr="001D52B6">
        <w:t>Gminy Parysów oraz na tablicy ogłoszeń Urzędu.</w:t>
      </w:r>
    </w:p>
    <w:p w:rsidR="00E708CC" w:rsidRPr="001D52B6" w:rsidRDefault="00AF44E5" w:rsidP="001D52B6">
      <w:pPr>
        <w:pStyle w:val="NormalnyWeb"/>
        <w:spacing w:before="0" w:beforeAutospacing="0" w:after="0" w:afterAutospacing="0"/>
        <w:jc w:val="both"/>
      </w:pPr>
      <w:r w:rsidRPr="001D52B6">
        <w:t>7</w:t>
      </w:r>
      <w:r w:rsidR="00E708CC" w:rsidRPr="001D52B6">
        <w:t xml:space="preserve">. Przekazanie środków na realizację zadania nastąpi na podstawie umowy zawartej pomiędzy </w:t>
      </w:r>
      <w:r w:rsidRPr="001D52B6">
        <w:t>Gmina Parysów</w:t>
      </w:r>
      <w:r w:rsidR="00E708CC" w:rsidRPr="001D52B6">
        <w:t>, a podmiotem którego oferta została wybrana w wyniku postępowania konkursowego.</w:t>
      </w:r>
    </w:p>
    <w:p w:rsidR="00E708CC" w:rsidRPr="001D52B6" w:rsidRDefault="00423151" w:rsidP="001D52B6">
      <w:pPr>
        <w:pStyle w:val="NormalnyWeb"/>
        <w:spacing w:before="0" w:beforeAutospacing="0" w:after="0" w:afterAutospacing="0"/>
        <w:jc w:val="both"/>
      </w:pPr>
      <w:r w:rsidRPr="001D52B6">
        <w:t>8</w:t>
      </w:r>
      <w:r w:rsidR="00E708CC" w:rsidRPr="001D52B6">
        <w:t>. Kwota przyznanej dotacji może być inna od wnioskowanej. W przypadku przyznania dotacji   w wysokości innej niż wnioskowana, podmiot ubiegający się o dotację dokona korekty kosztorysu zadania w terminie ustalonym przez Komisję Konkursową.</w:t>
      </w:r>
    </w:p>
    <w:p w:rsidR="00E708CC" w:rsidRPr="001D52B6" w:rsidRDefault="00423151" w:rsidP="001D52B6">
      <w:pPr>
        <w:pStyle w:val="NormalnyWeb"/>
        <w:spacing w:before="0" w:beforeAutospacing="0" w:after="0" w:afterAutospacing="0"/>
        <w:jc w:val="both"/>
      </w:pPr>
      <w:r w:rsidRPr="001D52B6">
        <w:t>9</w:t>
      </w:r>
      <w:r w:rsidR="00E708CC" w:rsidRPr="001D52B6">
        <w:t>. W przypadku, gdy Komisja Konkursowa uzna dany koszt za niekwalifikowany tj. zbędny przy realizacji zadania, podmiot ubiegający się o dotację dokona korekty kosztorysu zadania w terminie ustalonym przez Komisję Konkursową.</w:t>
      </w:r>
    </w:p>
    <w:p w:rsidR="00E708CC" w:rsidRPr="001D52B6" w:rsidRDefault="00AF44E5" w:rsidP="001D52B6">
      <w:pPr>
        <w:pStyle w:val="NormalnyWeb"/>
        <w:spacing w:before="0" w:beforeAutospacing="0" w:after="0" w:afterAutospacing="0"/>
        <w:jc w:val="both"/>
      </w:pPr>
      <w:r w:rsidRPr="001D52B6">
        <w:t>1</w:t>
      </w:r>
      <w:r w:rsidR="00423151" w:rsidRPr="001D52B6">
        <w:t>0</w:t>
      </w:r>
      <w:r w:rsidR="00E708CC" w:rsidRPr="001D52B6">
        <w:t xml:space="preserve">. </w:t>
      </w:r>
      <w:r w:rsidRPr="001D52B6">
        <w:t>Wójt Gminy Parysów</w:t>
      </w:r>
      <w:r w:rsidR="00E708CC" w:rsidRPr="001D52B6">
        <w:t xml:space="preserve"> zastrzega sobie możliwość nierozstrzygnięcia konkursu bez podania przyczyny. Od odmowy przyznania dotacji odwołanie nie przysługuje.</w:t>
      </w:r>
    </w:p>
    <w:p w:rsidR="00E708CC" w:rsidRPr="001D52B6" w:rsidRDefault="00E708CC" w:rsidP="001D52B6">
      <w:pPr>
        <w:pStyle w:val="NormalnyWeb"/>
        <w:spacing w:before="0" w:beforeAutospacing="0" w:after="0" w:afterAutospacing="0"/>
        <w:jc w:val="center"/>
        <w:rPr>
          <w:b/>
        </w:rPr>
      </w:pPr>
      <w:r w:rsidRPr="001D52B6">
        <w:br/>
      </w:r>
      <w:r w:rsidR="00AF44E5" w:rsidRPr="001D52B6">
        <w:rPr>
          <w:b/>
        </w:rPr>
        <w:t>VII. INFORMACJA DOTYCZĄCA ZADAŃ TEGO SAMEGO RODZAJU ZREALIZOWANYCH W ROKU OGŁOSZENIA KONKURSU I W POPRZEDNIM.</w:t>
      </w:r>
    </w:p>
    <w:p w:rsidR="00E708CC" w:rsidRPr="001D52B6" w:rsidRDefault="001D52B6" w:rsidP="001D52B6">
      <w:pPr>
        <w:pStyle w:val="NormalnyWeb"/>
        <w:spacing w:before="0" w:beforeAutospacing="0" w:after="0" w:afterAutospacing="0"/>
      </w:pPr>
      <w:r>
        <w:t>N</w:t>
      </w:r>
      <w:r w:rsidR="00AF44E5" w:rsidRPr="001D52B6">
        <w:t>a</w:t>
      </w:r>
      <w:r w:rsidR="00E708CC" w:rsidRPr="001D52B6">
        <w:t xml:space="preserve"> realizację ww. zadań  w 2020 r. wydatkowano kwotę </w:t>
      </w:r>
      <w:r w:rsidR="00AF44E5" w:rsidRPr="001D52B6">
        <w:t>45000,00</w:t>
      </w:r>
      <w:r>
        <w:t xml:space="preserve"> zł.   </w:t>
      </w:r>
      <w:r w:rsidR="00E708CC" w:rsidRPr="001D52B6">
        <w:t>                                                                                                   </w:t>
      </w:r>
    </w:p>
    <w:p w:rsidR="00BB655D" w:rsidRDefault="00BB655D" w:rsidP="001D52B6">
      <w:pPr>
        <w:jc w:val="both"/>
      </w:pPr>
    </w:p>
    <w:p w:rsidR="007B7568" w:rsidRDefault="007B7568" w:rsidP="001D52B6">
      <w:pPr>
        <w:jc w:val="both"/>
      </w:pPr>
    </w:p>
    <w:p w:rsidR="007B7568" w:rsidRDefault="007B7568" w:rsidP="001D52B6">
      <w:pPr>
        <w:jc w:val="both"/>
      </w:pPr>
      <w:r>
        <w:t xml:space="preserve">                                                                                             Wójt Gminy Parysów</w:t>
      </w:r>
    </w:p>
    <w:p w:rsidR="007B7568" w:rsidRPr="001D52B6" w:rsidRDefault="007B7568" w:rsidP="001D52B6">
      <w:pPr>
        <w:jc w:val="both"/>
      </w:pPr>
      <w:r>
        <w:t xml:space="preserve">                                                                                             </w:t>
      </w:r>
      <w:bookmarkStart w:id="0" w:name="_GoBack"/>
      <w:bookmarkEnd w:id="0"/>
      <w:r>
        <w:t>/-/ Bożena Kwiatkowska</w:t>
      </w:r>
    </w:p>
    <w:sectPr w:rsidR="007B7568" w:rsidRPr="001D52B6" w:rsidSect="001D52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4FF"/>
    <w:multiLevelType w:val="multilevel"/>
    <w:tmpl w:val="F0B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D31AB"/>
    <w:multiLevelType w:val="multilevel"/>
    <w:tmpl w:val="5AC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CC"/>
    <w:rsid w:val="000F5A70"/>
    <w:rsid w:val="001D52B6"/>
    <w:rsid w:val="0021243F"/>
    <w:rsid w:val="002A58CE"/>
    <w:rsid w:val="003C75AC"/>
    <w:rsid w:val="00423151"/>
    <w:rsid w:val="0046677E"/>
    <w:rsid w:val="00571315"/>
    <w:rsid w:val="00704BD0"/>
    <w:rsid w:val="007B7568"/>
    <w:rsid w:val="0094220C"/>
    <w:rsid w:val="00963489"/>
    <w:rsid w:val="00AA7ED2"/>
    <w:rsid w:val="00AD0EB3"/>
    <w:rsid w:val="00AF44E5"/>
    <w:rsid w:val="00B67356"/>
    <w:rsid w:val="00BB0033"/>
    <w:rsid w:val="00BB615F"/>
    <w:rsid w:val="00BB655D"/>
    <w:rsid w:val="00BD2F95"/>
    <w:rsid w:val="00BF3EB5"/>
    <w:rsid w:val="00C9291F"/>
    <w:rsid w:val="00CE6BBE"/>
    <w:rsid w:val="00D877F1"/>
    <w:rsid w:val="00E708CC"/>
    <w:rsid w:val="00ED0817"/>
    <w:rsid w:val="00ED7115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31A86-4263-4B78-A280-D97D529B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customStyle="1" w:styleId="text-center">
    <w:name w:val="text-center"/>
    <w:basedOn w:val="Normalny"/>
    <w:rsid w:val="00E708C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708C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4</cp:revision>
  <cp:lastPrinted>2021-01-29T10:27:00Z</cp:lastPrinted>
  <dcterms:created xsi:type="dcterms:W3CDTF">2021-01-29T10:19:00Z</dcterms:created>
  <dcterms:modified xsi:type="dcterms:W3CDTF">2021-01-29T10:27:00Z</dcterms:modified>
</cp:coreProperties>
</file>